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B94792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CC1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A308E4">
        <w:rPr>
          <w:rFonts w:ascii="Arial" w:hAnsi="Arial" w:cs="Arial"/>
          <w:b/>
          <w:sz w:val="20"/>
          <w:szCs w:val="20"/>
        </w:rPr>
        <w:t>after-tax profit</w:t>
      </w:r>
      <w:r w:rsidR="00C761E0">
        <w:rPr>
          <w:rFonts w:ascii="Arial" w:hAnsi="Arial" w:cs="Arial"/>
          <w:b/>
          <w:sz w:val="20"/>
          <w:szCs w:val="20"/>
        </w:rPr>
        <w:t xml:space="preserve">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>the</w:t>
      </w:r>
      <w:r w:rsidR="007F6A0E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6F778A">
        <w:rPr>
          <w:rFonts w:ascii="Arial" w:hAnsi="Arial" w:cs="Arial"/>
          <w:b/>
          <w:sz w:val="20"/>
          <w:szCs w:val="20"/>
        </w:rPr>
        <w:t>Q.1/ 2020</w:t>
      </w:r>
      <w:r w:rsidR="006041EB">
        <w:rPr>
          <w:rFonts w:ascii="Arial" w:hAnsi="Arial" w:cs="Arial"/>
          <w:b/>
          <w:sz w:val="20"/>
          <w:szCs w:val="20"/>
        </w:rPr>
        <w:t xml:space="preserve"> of holding company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A308E4" w:rsidRDefault="00E36A48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F6A0E">
        <w:rPr>
          <w:rFonts w:ascii="Arial" w:hAnsi="Arial" w:cs="Arial"/>
          <w:sz w:val="20"/>
          <w:szCs w:val="20"/>
        </w:rPr>
        <w:t>29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B94792" w:rsidRPr="00B94792">
        <w:rPr>
          <w:rFonts w:ascii="Arial" w:hAnsi="Arial" w:cs="Arial"/>
          <w:sz w:val="20"/>
          <w:szCs w:val="20"/>
        </w:rPr>
        <w:t>Construction Corporation No.1 Joint Stock Company</w:t>
      </w:r>
      <w:r w:rsidR="00B94792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C761E0">
        <w:rPr>
          <w:rFonts w:ascii="Arial" w:hAnsi="Arial" w:cs="Arial"/>
          <w:sz w:val="20"/>
          <w:szCs w:val="20"/>
        </w:rPr>
        <w:t xml:space="preserve"> in</w:t>
      </w:r>
      <w:r w:rsidR="007F6A0E">
        <w:rPr>
          <w:rFonts w:ascii="Arial" w:hAnsi="Arial" w:cs="Arial"/>
          <w:sz w:val="20"/>
          <w:szCs w:val="20"/>
        </w:rPr>
        <w:t xml:space="preserve"> the</w:t>
      </w:r>
      <w:r w:rsidR="00EA67D4">
        <w:rPr>
          <w:rFonts w:ascii="Arial" w:hAnsi="Arial" w:cs="Arial"/>
          <w:sz w:val="20"/>
          <w:szCs w:val="20"/>
        </w:rPr>
        <w:t xml:space="preserve"> </w:t>
      </w:r>
      <w:r w:rsidR="00D778AE">
        <w:rPr>
          <w:rFonts w:ascii="Arial" w:hAnsi="Arial" w:cs="Arial"/>
          <w:sz w:val="20"/>
          <w:szCs w:val="20"/>
        </w:rPr>
        <w:t xml:space="preserve">financial statement of </w:t>
      </w:r>
      <w:r w:rsidR="006F778A">
        <w:rPr>
          <w:rFonts w:ascii="Arial" w:hAnsi="Arial" w:cs="Arial"/>
          <w:sz w:val="20"/>
          <w:szCs w:val="20"/>
        </w:rPr>
        <w:t>Q.1/ 2020</w:t>
      </w:r>
      <w:r w:rsidR="006041EB">
        <w:rPr>
          <w:rFonts w:ascii="Arial" w:hAnsi="Arial" w:cs="Arial"/>
          <w:sz w:val="20"/>
          <w:szCs w:val="20"/>
        </w:rPr>
        <w:t xml:space="preserve"> of holding company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1980"/>
        <w:gridCol w:w="1890"/>
        <w:gridCol w:w="1458"/>
      </w:tblGrid>
      <w:tr w:rsidR="00317137" w:rsidTr="007302B0">
        <w:tc>
          <w:tcPr>
            <w:tcW w:w="2268" w:type="dxa"/>
          </w:tcPr>
          <w:p w:rsidR="00317137" w:rsidRDefault="00317137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980" w:type="dxa"/>
          </w:tcPr>
          <w:p w:rsidR="00317137" w:rsidRDefault="00317137" w:rsidP="00BF69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of Q.1/ 2020</w:t>
            </w:r>
          </w:p>
        </w:tc>
        <w:tc>
          <w:tcPr>
            <w:tcW w:w="1980" w:type="dxa"/>
          </w:tcPr>
          <w:p w:rsidR="00317137" w:rsidRDefault="00BF6958" w:rsidP="00BF69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of Q.1/ 2019</w:t>
            </w:r>
          </w:p>
        </w:tc>
        <w:tc>
          <w:tcPr>
            <w:tcW w:w="1890" w:type="dxa"/>
          </w:tcPr>
          <w:p w:rsidR="00317137" w:rsidRDefault="00567FB0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458" w:type="dxa"/>
          </w:tcPr>
          <w:p w:rsidR="00317137" w:rsidRDefault="00567FB0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317137" w:rsidTr="007302B0">
        <w:tc>
          <w:tcPr>
            <w:tcW w:w="2268" w:type="dxa"/>
          </w:tcPr>
          <w:p w:rsidR="00317137" w:rsidRDefault="006041EB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67FB0">
              <w:rPr>
                <w:rFonts w:ascii="Arial" w:hAnsi="Arial" w:cs="Arial"/>
                <w:sz w:val="20"/>
                <w:szCs w:val="20"/>
              </w:rPr>
              <w:t xml:space="preserve">inancial statement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of holding company </w:t>
            </w:r>
          </w:p>
        </w:tc>
        <w:tc>
          <w:tcPr>
            <w:tcW w:w="1980" w:type="dxa"/>
          </w:tcPr>
          <w:p w:rsidR="00317137" w:rsidRDefault="005277D4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2,380,156,308</w:t>
            </w:r>
          </w:p>
        </w:tc>
        <w:tc>
          <w:tcPr>
            <w:tcW w:w="1980" w:type="dxa"/>
          </w:tcPr>
          <w:p w:rsidR="00317137" w:rsidRDefault="005277D4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3,088,526,518</w:t>
            </w:r>
          </w:p>
        </w:tc>
        <w:tc>
          <w:tcPr>
            <w:tcW w:w="1890" w:type="dxa"/>
          </w:tcPr>
          <w:p w:rsidR="00317137" w:rsidRDefault="005277D4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708,370,210</w:t>
            </w:r>
          </w:p>
        </w:tc>
        <w:tc>
          <w:tcPr>
            <w:tcW w:w="1458" w:type="dxa"/>
          </w:tcPr>
          <w:p w:rsidR="00317137" w:rsidRDefault="005277D4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</w:tbl>
    <w:p w:rsidR="005277D4" w:rsidRDefault="005277D4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426F" w:rsidRDefault="008C426F" w:rsidP="008C4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early 2020, the</w:t>
      </w:r>
      <w:r w:rsidRPr="00B94792">
        <w:rPr>
          <w:rFonts w:ascii="Arial" w:hAnsi="Arial" w:cs="Arial"/>
          <w:sz w:val="20"/>
          <w:szCs w:val="20"/>
        </w:rPr>
        <w:t xml:space="preserve"> outbreak</w:t>
      </w:r>
      <w:r>
        <w:rPr>
          <w:rFonts w:ascii="Arial" w:hAnsi="Arial" w:cs="Arial"/>
          <w:sz w:val="20"/>
          <w:szCs w:val="20"/>
        </w:rPr>
        <w:t xml:space="preserve"> of acute respiratory disease</w:t>
      </w:r>
      <w:r w:rsidRPr="00B94792">
        <w:rPr>
          <w:rFonts w:ascii="Arial" w:hAnsi="Arial" w:cs="Arial"/>
          <w:sz w:val="20"/>
          <w:szCs w:val="20"/>
        </w:rPr>
        <w:t xml:space="preserve"> caused by a ne</w:t>
      </w:r>
      <w:r>
        <w:rPr>
          <w:rFonts w:ascii="Arial" w:hAnsi="Arial" w:cs="Arial"/>
          <w:sz w:val="20"/>
          <w:szCs w:val="20"/>
        </w:rPr>
        <w:t>w strain of Corona virus (Covid</w:t>
      </w:r>
      <w:r w:rsidRPr="00B9479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19) affected</w:t>
      </w:r>
      <w:r w:rsidRPr="00B94792">
        <w:rPr>
          <w:rFonts w:ascii="Arial" w:hAnsi="Arial" w:cs="Arial"/>
          <w:sz w:val="20"/>
          <w:szCs w:val="20"/>
        </w:rPr>
        <w:t xml:space="preserve"> and reduced</w:t>
      </w:r>
      <w:r>
        <w:rPr>
          <w:rFonts w:ascii="Arial" w:hAnsi="Arial" w:cs="Arial"/>
          <w:sz w:val="20"/>
          <w:szCs w:val="20"/>
        </w:rPr>
        <w:t xml:space="preserve"> the</w:t>
      </w:r>
      <w:r w:rsidRPr="00B94792">
        <w:rPr>
          <w:rFonts w:ascii="Arial" w:hAnsi="Arial" w:cs="Arial"/>
          <w:sz w:val="20"/>
          <w:szCs w:val="20"/>
        </w:rPr>
        <w:t xml:space="preserve"> economic growth in m</w:t>
      </w:r>
      <w:r>
        <w:rPr>
          <w:rFonts w:ascii="Arial" w:hAnsi="Arial" w:cs="Arial"/>
          <w:sz w:val="20"/>
          <w:szCs w:val="20"/>
        </w:rPr>
        <w:t>ost countries in the world. The epidemic had bad influence on business operation of all enterprises in Viet Nam</w:t>
      </w:r>
      <w:bookmarkStart w:id="0" w:name="_GoBack"/>
      <w:bookmarkEnd w:id="0"/>
    </w:p>
    <w:p w:rsidR="008C426F" w:rsidRDefault="008C426F" w:rsidP="008C4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4792">
        <w:rPr>
          <w:rFonts w:ascii="Arial" w:hAnsi="Arial" w:cs="Arial"/>
          <w:sz w:val="20"/>
          <w:szCs w:val="20"/>
        </w:rPr>
        <w:t>With the above mentioned objective impacts, in the first quarter of 2020,</w:t>
      </w:r>
      <w:r>
        <w:rPr>
          <w:rFonts w:ascii="Arial" w:hAnsi="Arial" w:cs="Arial"/>
          <w:sz w:val="20"/>
          <w:szCs w:val="20"/>
        </w:rPr>
        <w:t xml:space="preserve"> the business activities and construction projects</w:t>
      </w:r>
      <w:r w:rsidRPr="00B94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had to be suspended, so </w:t>
      </w:r>
      <w:r w:rsidRPr="00B9479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revenue</w:t>
      </w:r>
      <w:r w:rsidRPr="00B94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selling goods and services</w:t>
      </w:r>
      <w:r w:rsidRPr="00B94792">
        <w:rPr>
          <w:rFonts w:ascii="Arial" w:hAnsi="Arial" w:cs="Arial"/>
          <w:sz w:val="20"/>
          <w:szCs w:val="20"/>
        </w:rPr>
        <w:t xml:space="preserve"> of CC1 decreased compared to the first quarter of 2019 but the f</w:t>
      </w:r>
      <w:r>
        <w:rPr>
          <w:rFonts w:ascii="Arial" w:hAnsi="Arial" w:cs="Arial"/>
          <w:sz w:val="20"/>
          <w:szCs w:val="20"/>
        </w:rPr>
        <w:t>ixed costs still had to be paid, which made the profit decrease</w:t>
      </w:r>
      <w:r w:rsidRPr="00B94792">
        <w:rPr>
          <w:rFonts w:ascii="Arial" w:hAnsi="Arial" w:cs="Arial"/>
          <w:sz w:val="20"/>
          <w:szCs w:val="20"/>
        </w:rPr>
        <w:t xml:space="preserve"> compared to Q</w:t>
      </w:r>
      <w:r>
        <w:rPr>
          <w:rFonts w:ascii="Arial" w:hAnsi="Arial" w:cs="Arial"/>
          <w:sz w:val="20"/>
          <w:szCs w:val="20"/>
        </w:rPr>
        <w:t>.</w:t>
      </w:r>
      <w:r w:rsidRPr="00B94792">
        <w:rPr>
          <w:rFonts w:ascii="Arial" w:hAnsi="Arial" w:cs="Arial"/>
          <w:sz w:val="20"/>
          <w:szCs w:val="20"/>
        </w:rPr>
        <w:t>1 2019</w:t>
      </w:r>
    </w:p>
    <w:p w:rsidR="00D74B55" w:rsidRDefault="00D74B55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7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8067D"/>
    <w:rsid w:val="00090ACE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17137"/>
    <w:rsid w:val="00330005"/>
    <w:rsid w:val="00336B0D"/>
    <w:rsid w:val="00346788"/>
    <w:rsid w:val="003812F4"/>
    <w:rsid w:val="00385717"/>
    <w:rsid w:val="003A771E"/>
    <w:rsid w:val="003B2570"/>
    <w:rsid w:val="00467BC0"/>
    <w:rsid w:val="004954D8"/>
    <w:rsid w:val="00496733"/>
    <w:rsid w:val="004A7E66"/>
    <w:rsid w:val="004B0E3B"/>
    <w:rsid w:val="004B5C61"/>
    <w:rsid w:val="004C7900"/>
    <w:rsid w:val="004E68F1"/>
    <w:rsid w:val="005277D4"/>
    <w:rsid w:val="00567FB0"/>
    <w:rsid w:val="0058021C"/>
    <w:rsid w:val="00594B24"/>
    <w:rsid w:val="00595C34"/>
    <w:rsid w:val="005A0A44"/>
    <w:rsid w:val="005B0276"/>
    <w:rsid w:val="005E7D00"/>
    <w:rsid w:val="005F5436"/>
    <w:rsid w:val="006033FC"/>
    <w:rsid w:val="006041EB"/>
    <w:rsid w:val="0060744D"/>
    <w:rsid w:val="006623D8"/>
    <w:rsid w:val="00675C63"/>
    <w:rsid w:val="00680BC9"/>
    <w:rsid w:val="00695103"/>
    <w:rsid w:val="006E13A2"/>
    <w:rsid w:val="006E3B6D"/>
    <w:rsid w:val="006F778A"/>
    <w:rsid w:val="00701C87"/>
    <w:rsid w:val="00701F46"/>
    <w:rsid w:val="007028B7"/>
    <w:rsid w:val="0072584C"/>
    <w:rsid w:val="007302B0"/>
    <w:rsid w:val="00740A0C"/>
    <w:rsid w:val="00745D9A"/>
    <w:rsid w:val="00761E26"/>
    <w:rsid w:val="00795EA8"/>
    <w:rsid w:val="007D449B"/>
    <w:rsid w:val="007F6A0E"/>
    <w:rsid w:val="007F7DB7"/>
    <w:rsid w:val="00804583"/>
    <w:rsid w:val="008078B6"/>
    <w:rsid w:val="00831901"/>
    <w:rsid w:val="0084703C"/>
    <w:rsid w:val="0088081B"/>
    <w:rsid w:val="008854CF"/>
    <w:rsid w:val="00887B6C"/>
    <w:rsid w:val="00887C3A"/>
    <w:rsid w:val="0089624F"/>
    <w:rsid w:val="008B17BB"/>
    <w:rsid w:val="008B342A"/>
    <w:rsid w:val="008C2B4C"/>
    <w:rsid w:val="008C426F"/>
    <w:rsid w:val="008D5C54"/>
    <w:rsid w:val="00981C95"/>
    <w:rsid w:val="009A4675"/>
    <w:rsid w:val="009C1200"/>
    <w:rsid w:val="00A308E4"/>
    <w:rsid w:val="00A31456"/>
    <w:rsid w:val="00A62855"/>
    <w:rsid w:val="00A759D6"/>
    <w:rsid w:val="00A81EB3"/>
    <w:rsid w:val="00AA01BA"/>
    <w:rsid w:val="00AF67BE"/>
    <w:rsid w:val="00B22DA5"/>
    <w:rsid w:val="00B40E78"/>
    <w:rsid w:val="00B602D5"/>
    <w:rsid w:val="00B82455"/>
    <w:rsid w:val="00B94792"/>
    <w:rsid w:val="00BA2C42"/>
    <w:rsid w:val="00BA721C"/>
    <w:rsid w:val="00BC16A6"/>
    <w:rsid w:val="00BF30C1"/>
    <w:rsid w:val="00BF6958"/>
    <w:rsid w:val="00C04449"/>
    <w:rsid w:val="00C075A7"/>
    <w:rsid w:val="00C13F9F"/>
    <w:rsid w:val="00C324E9"/>
    <w:rsid w:val="00C72FFB"/>
    <w:rsid w:val="00C761E0"/>
    <w:rsid w:val="00CA41E5"/>
    <w:rsid w:val="00CA6F06"/>
    <w:rsid w:val="00CB3D73"/>
    <w:rsid w:val="00CC15D8"/>
    <w:rsid w:val="00CD493C"/>
    <w:rsid w:val="00D06CA1"/>
    <w:rsid w:val="00D61AB5"/>
    <w:rsid w:val="00D74B55"/>
    <w:rsid w:val="00D778AE"/>
    <w:rsid w:val="00E0363A"/>
    <w:rsid w:val="00E11EBD"/>
    <w:rsid w:val="00E154B3"/>
    <w:rsid w:val="00E36A48"/>
    <w:rsid w:val="00E46F08"/>
    <w:rsid w:val="00E510E5"/>
    <w:rsid w:val="00EA098E"/>
    <w:rsid w:val="00EA67D4"/>
    <w:rsid w:val="00EA6E4A"/>
    <w:rsid w:val="00ED31AF"/>
    <w:rsid w:val="00EF7457"/>
    <w:rsid w:val="00F02E19"/>
    <w:rsid w:val="00F163FC"/>
    <w:rsid w:val="00F61528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134</cp:revision>
  <dcterms:created xsi:type="dcterms:W3CDTF">2019-10-16T10:03:00Z</dcterms:created>
  <dcterms:modified xsi:type="dcterms:W3CDTF">2020-05-05T06:54:00Z</dcterms:modified>
</cp:coreProperties>
</file>